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качества обслуживания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сетевыми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услуг сетевых организаций,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утвержденным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Приказа Минэнерго России от 15.04.2014 г. № 186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/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pP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</w:p>
    <w:p>
      <w:pPr>
        <w:jc w:val="center"/>
        <w:spacing w:after="0"/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pP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филиала ПАО «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Россети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 Юг» – «Калмэнерго» за 2025 год  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 w:eastAsia="Calibri" w:cs="Times New Roman"/>
          <w:b/>
          <w:color w:val="365f91"/>
          <w:sz w:val="24"/>
        </w:rPr>
      </w:pPr>
      <w:r>
        <w:rPr>
          <w:rFonts w:ascii="Times New Roman" w:hAnsi="Times New Roman" w:eastAsia="Calibri" w:cs="Times New Roman"/>
          <w:b/>
          <w:color w:val="365f91"/>
          <w:sz w:val="24"/>
        </w:rPr>
        <w:t xml:space="preserve">Общая информация о сетевой организации</w:t>
      </w:r>
      <w:r>
        <w:rPr>
          <w:rFonts w:ascii="Times New Roman" w:hAnsi="Times New Roman" w:eastAsia="Calibri" w:cs="Times New Roman"/>
          <w:b/>
          <w:color w:val="365f91"/>
          <w:sz w:val="24"/>
        </w:rPr>
      </w:r>
      <w:r>
        <w:rPr>
          <w:rFonts w:ascii="Times New Roman" w:hAnsi="Times New Roman" w:eastAsia="Calibri" w:cs="Times New Roman"/>
          <w:b/>
          <w:color w:val="365f91"/>
          <w:sz w:val="24"/>
        </w:rPr>
      </w:r>
    </w:p>
    <w:p>
      <w:pPr>
        <w:numPr>
          <w:ilvl w:val="1"/>
          <w:numId w:val="2"/>
        </w:numPr>
        <w:contextualSpacing/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color w:val="365f91"/>
        </w:rPr>
        <w:t xml:space="preserve">Количество потребителей услуг сетевой организации </w:t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contextualSpacing/>
        <w:ind w:left="720" w:firstLine="0"/>
        <w:jc w:val="both"/>
        <w:spacing w:after="0"/>
        <w:rPr>
          <w:rFonts w:ascii="Times New Roman" w:hAnsi="Times New Roman" w:eastAsia="Calibri" w:cs="Times New Roman"/>
          <w:b/>
          <w:bCs/>
          <w:color w:val="365f91"/>
        </w:rPr>
      </w:pPr>
      <w:r>
        <w:rPr>
          <w:rFonts w:ascii="Times New Roman" w:hAnsi="Times New Roman" w:eastAsia="Calibri" w:cs="Times New Roman"/>
          <w:highlight w:val="none"/>
        </w:rPr>
      </w:r>
      <w:r>
        <w:rPr>
          <w:rFonts w:ascii="Times New Roman" w:hAnsi="Times New Roman" w:eastAsia="Calibri" w:cs="Times New Roman"/>
          <w:highlight w:val="none"/>
        </w:rPr>
      </w:r>
      <w:r>
        <w:rPr>
          <w:rFonts w:ascii="Times New Roman" w:hAnsi="Times New Roman" w:eastAsia="Calibri" w:cs="Times New Roman"/>
          <w:b/>
          <w:bCs/>
          <w:color w:val="365f91"/>
        </w:rPr>
      </w:r>
    </w:p>
    <w:p>
      <w:pPr>
        <w:contextualSpacing/>
        <w:ind w:left="1080"/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2025 году было осуществлено 1095 технологических присоединений заявителей: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3"/>
        </w:numPr>
        <w:contextualSpacing/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по 1-й категории надежности – 1 шт.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3"/>
        </w:numPr>
        <w:contextualSpacing/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по 2-й категории надежности – 3 шт.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3"/>
        </w:numPr>
        <w:contextualSpacing/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по 3-й категории надежности –1091 шт.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ind w:left="1800"/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tbl>
      <w:tblPr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2890"/>
        <w:gridCol w:w="4100"/>
      </w:tblGrid>
      <w:tr>
        <w:tblPrEx/>
        <w:trPr>
          <w:trHeight w:val="525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Уровень напряжения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W w:w="30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Количество присоединений в 2024 году, шт.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Количество присоединений в 2025 году, шт.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0,4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1154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1070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62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6-10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21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25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83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– 35кВ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90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110 – 220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</w:tr>
    </w:tbl>
    <w:p>
      <w:pPr>
        <w:contextualSpacing/>
        <w:ind w:left="0"/>
        <w:jc w:val="both"/>
        <w:spacing w:after="0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tbl>
      <w:tblPr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2976"/>
        <w:gridCol w:w="4077"/>
      </w:tblGrid>
      <w:tr>
        <w:tblPrEx/>
        <w:trPr>
          <w:trHeight w:val="563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Тип потребителей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Количество присоединений  в 2024 году,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07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Количество присоединений  в 2025 году,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81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Физические лица 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840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715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4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Юридические лица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336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380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</w:tr>
    </w:tbl>
    <w:p>
      <w:pPr>
        <w:contextualSpacing/>
        <w:jc w:val="both"/>
        <w:spacing w:after="0"/>
        <w:rPr>
          <w:rFonts w:ascii="Times New Roman" w:hAnsi="Times New Roman" w:eastAsia="Calibri" w:cs="Times New Roman"/>
          <w:b/>
          <w:color w:val="1f497d" w:themeColor="text2"/>
        </w:rPr>
      </w:pPr>
      <w:r>
        <w:rPr>
          <w:rFonts w:ascii="Times New Roman" w:hAnsi="Times New Roman" w:eastAsia="Calibri" w:cs="Times New Roman"/>
          <w:b/>
          <w:color w:val="1f497d" w:themeColor="text2"/>
        </w:rPr>
      </w:r>
      <w:r>
        <w:rPr>
          <w:rFonts w:ascii="Times New Roman" w:hAnsi="Times New Roman" w:eastAsia="Calibri" w:cs="Times New Roman"/>
          <w:b/>
          <w:color w:val="1f497d" w:themeColor="text2"/>
        </w:rPr>
      </w:r>
      <w:r>
        <w:rPr>
          <w:rFonts w:ascii="Times New Roman" w:hAnsi="Times New Roman" w:eastAsia="Calibri" w:cs="Times New Roman"/>
          <w:b/>
          <w:color w:val="1f497d" w:themeColor="text2"/>
        </w:rPr>
      </w:r>
    </w:p>
    <w:p>
      <w:pPr>
        <w:pStyle w:val="858"/>
        <w:numPr>
          <w:ilvl w:val="1"/>
          <w:numId w:val="2"/>
        </w:numPr>
        <w:jc w:val="both"/>
        <w:spacing w:after="0"/>
        <w:rPr>
          <w:rFonts w:ascii="Times New Roman" w:hAnsi="Times New Roman" w:eastAsia="Calibri" w:cs="Times New Roman"/>
          <w:b/>
          <w:color w:val="1f497d" w:themeColor="text2"/>
        </w:rPr>
      </w:pPr>
      <w:r>
        <w:rPr>
          <w:rFonts w:ascii="Times New Roman" w:hAnsi="Times New Roman" w:eastAsia="Calibri" w:cs="Times New Roman"/>
          <w:color w:val="1f497d" w:themeColor="text2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 w:eastAsia="Calibri" w:cs="Times New Roman"/>
          <w:b/>
          <w:color w:val="1f497d" w:themeColor="text2"/>
        </w:rPr>
      </w:r>
      <w:r>
        <w:rPr>
          <w:rFonts w:ascii="Times New Roman" w:hAnsi="Times New Roman" w:eastAsia="Calibri" w:cs="Times New Roman"/>
          <w:b/>
          <w:color w:val="1f497d" w:themeColor="text2"/>
        </w:rPr>
      </w:r>
    </w:p>
    <w:p>
      <w:pPr>
        <w:ind w:left="720" w:firstLine="0"/>
        <w:jc w:val="both"/>
        <w:spacing w:after="0"/>
        <w:rPr>
          <w:rFonts w:ascii="Times New Roman" w:hAnsi="Times New Roman" w:eastAsia="Calibri" w:cs="Times New Roman"/>
          <w:b/>
          <w:bCs/>
          <w:color w:val="1f497d" w:themeColor="text2"/>
        </w:rPr>
      </w:pPr>
      <w:r>
        <w:rPr>
          <w:rFonts w:ascii="Times New Roman" w:hAnsi="Times New Roman" w:eastAsia="Calibri" w:cs="Times New Roman"/>
          <w:color w:val="1f497d" w:themeColor="text2"/>
          <w:highlight w:val="none"/>
        </w:rPr>
      </w:r>
      <w:r>
        <w:rPr>
          <w:rFonts w:ascii="Times New Roman" w:hAnsi="Times New Roman" w:eastAsia="Calibri" w:cs="Times New Roman"/>
          <w:color w:val="1f497d" w:themeColor="text2"/>
          <w:highlight w:val="none"/>
        </w:rPr>
      </w:r>
      <w:r>
        <w:rPr>
          <w:rFonts w:ascii="Times New Roman" w:hAnsi="Times New Roman" w:eastAsia="Calibri" w:cs="Times New Roman"/>
          <w:b/>
          <w:bCs/>
          <w:color w:val="1f497d" w:themeColor="text2"/>
        </w:rPr>
      </w:r>
    </w:p>
    <w:tbl>
      <w:tblPr>
        <w:tblW w:w="921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103"/>
        <w:gridCol w:w="2126"/>
        <w:gridCol w:w="1985"/>
      </w:tblGrid>
      <w:tr>
        <w:tblPrEx/>
        <w:trPr>
          <w:trHeight w:val="3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Потребители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Калмэнерго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7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Количество точек поставки 2024 г. (шт.)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Количество точек поставки 2025 г. (шт.)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79412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82487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79412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82487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10766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11589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Юридические лица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12452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12443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3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12452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12443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1035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684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Ввода в многоквартирные дома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496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496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496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496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66464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66991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7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66464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66991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9731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9916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</w:tbl>
    <w:p>
      <w:pPr>
        <w:ind w:left="720" w:firstLine="0"/>
        <w:jc w:val="both"/>
        <w:spacing w:after="0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shd w:val="nil" w:color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  <w:highlight w:val="none"/>
        </w:rPr>
        <w:br w:type="page" w:clear="all"/>
      </w: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pStyle w:val="858"/>
        <w:numPr>
          <w:ilvl w:val="1"/>
          <w:numId w:val="2"/>
        </w:numPr>
        <w:jc w:val="both"/>
        <w:spacing w:after="0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  <w:t xml:space="preserve">Информация об объектах электросетевого хозяйства сетевой организации: </w:t>
      </w:r>
      <w:r>
        <w:rPr>
          <w:rFonts w:ascii="Times New Roman" w:hAnsi="Times New Roman" w:cs="Times New Roman"/>
          <w:color w:val="1f497d" w:themeColor="text2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pStyle w:val="858"/>
        <w:numPr>
          <w:ilvl w:val="2"/>
          <w:numId w:val="2"/>
        </w:numPr>
        <w:jc w:val="both"/>
        <w:spacing w:after="0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  <w:t xml:space="preserve">Протяженность ЛЭП филиала ПАО «</w:t>
      </w:r>
      <w:r>
        <w:rPr>
          <w:rFonts w:ascii="Times New Roman" w:hAnsi="Times New Roman" w:cs="Times New Roman"/>
          <w:color w:val="1f497d" w:themeColor="text2"/>
        </w:rPr>
        <w:t xml:space="preserve">Россети</w:t>
      </w:r>
      <w:r>
        <w:rPr>
          <w:rFonts w:ascii="Times New Roman" w:hAnsi="Times New Roman" w:cs="Times New Roman"/>
          <w:color w:val="1f497d" w:themeColor="text2"/>
        </w:rPr>
        <w:t xml:space="preserve"> Юг» - «Калмэнерго»</w:t>
      </w:r>
      <w:r>
        <w:rPr>
          <w:rFonts w:ascii="Times New Roman" w:hAnsi="Times New Roman" w:cs="Times New Roman"/>
          <w:color w:val="1f497d" w:themeColor="text2"/>
        </w:rPr>
      </w:r>
      <w:r>
        <w:rPr>
          <w:rFonts w:ascii="Times New Roman" w:hAnsi="Times New Roman" w:cs="Times New Roman"/>
          <w:color w:val="1f497d" w:themeColor="text2"/>
        </w:rPr>
      </w:r>
    </w:p>
    <w:tbl>
      <w:tblPr>
        <w:tblpPr w:horzAnchor="page" w:tblpX="2043" w:vertAnchor="page" w:tblpY="1788" w:leftFromText="180" w:topFromText="0" w:rightFromText="180" w:bottomFromText="0"/>
        <w:tblW w:w="9319" w:type="dxa"/>
        <w:tblLayout w:type="fixed"/>
        <w:tblLook w:val="04A0" w:firstRow="1" w:lastRow="0" w:firstColumn="1" w:lastColumn="0" w:noHBand="0" w:noVBand="1"/>
      </w:tblPr>
      <w:tblGrid>
        <w:gridCol w:w="1667"/>
        <w:gridCol w:w="992"/>
        <w:gridCol w:w="1276"/>
        <w:gridCol w:w="1417"/>
        <w:gridCol w:w="916"/>
        <w:gridCol w:w="1647"/>
        <w:gridCol w:w="1404"/>
      </w:tblGrid>
      <w:tr>
        <w:tblPrEx/>
        <w:trPr>
          <w:trHeight w:val="41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b/>
                <w:color w:val="c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color w:val="c00000"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Кол-во (шт.)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Протяженность по трассе (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Протяженность по цепям (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Кол-во (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Протяженность по трассе (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Протяженность по цепям (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0.4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4 662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3 757,35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3 757,35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4686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3803,27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3803,27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6-20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513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12 765,62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12 765,62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522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12887,94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12887,94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35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1 972,79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1 985,32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82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1972,79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1985,32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110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2 088,49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2 212,44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62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2088,64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2212,67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5 319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20 584,25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20 720,73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5352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20752,64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20889,2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 0.4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100,96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100,96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338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103,54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103,54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 6-10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104,98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104,98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139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103,9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103,9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 35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 110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ИТОГО КЛ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466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205,94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205,94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477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207,44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207,44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ЛЭП 0.4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4 988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3 858,31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3 858,31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5024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3906,81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3906,81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ЛЭП 6-20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653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12 870,60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12 870,60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661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12991,84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12991,84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ЛЭП 35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1 972,79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1 985,32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1972,79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1985,32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ЛЭП 110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2 088,49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2 212,44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2088,64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2212,67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ИТОГО ЛЭП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5 785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20 790,19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20 926,67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5829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20960,08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21096,64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8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f497d" w:themeColor="text2"/>
        </w:rPr>
        <w:t xml:space="preserve">Количество и мощность подстанций филиала ПАО «</w:t>
      </w:r>
      <w:r>
        <w:rPr>
          <w:rFonts w:ascii="Times New Roman" w:hAnsi="Times New Roman" w:cs="Times New Roman"/>
          <w:color w:val="1f497d" w:themeColor="text2"/>
        </w:rPr>
        <w:t xml:space="preserve">Россети</w:t>
      </w:r>
      <w:r>
        <w:rPr>
          <w:rFonts w:ascii="Times New Roman" w:hAnsi="Times New Roman" w:cs="Times New Roman"/>
          <w:color w:val="1f497d" w:themeColor="text2"/>
        </w:rPr>
        <w:t xml:space="preserve"> Юг» - «Калмэнерго</w:t>
      </w:r>
      <w:r>
        <w:rPr>
          <w:rFonts w:ascii="Times New Roman" w:hAnsi="Times New Roman" w:cs="Times New Roman"/>
        </w:rPr>
        <w:t xml:space="preserve">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080"/>
        <w:jc w:val="left"/>
        <w:spacing w:after="0"/>
        <w:tabs>
          <w:tab w:val="left" w:pos="1136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  <w:bCs/>
        </w:rPr>
      </w:r>
    </w:p>
    <w:tbl>
      <w:tblPr>
        <w:tblStyle w:val="863"/>
        <w:tblW w:w="935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1575"/>
        <w:gridCol w:w="1290"/>
        <w:gridCol w:w="1575"/>
        <w:gridCol w:w="1937"/>
      </w:tblGrid>
      <w:tr>
        <w:tblPrEx/>
        <w:trPr>
          <w:trHeight w:val="187"/>
        </w:trPr>
        <w:tc>
          <w:tcPr>
            <w:tcW w:w="2977" w:type="dxa"/>
            <w:vMerge w:val="restart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gridSpan w:val="2"/>
            <w:tcW w:w="2865" w:type="dxa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2"/>
            <w:tcW w:w="3512" w:type="dxa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</w:tr>
      <w:tr>
        <w:tblPrEx/>
        <w:trPr>
          <w:trHeight w:val="345"/>
        </w:trPr>
        <w:tc>
          <w:tcPr>
            <w:tcW w:w="2977" w:type="dxa"/>
            <w:vMerge w:val="continue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1290" w:type="dxa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МВА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W w:w="1937" w:type="dxa"/>
            <w:textDirection w:val="lrTb"/>
            <w:noWrap w:val="false"/>
          </w:tcPr>
          <w:p>
            <w:pPr>
              <w:pStyle w:val="858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МВА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</w:tr>
      <w:tr>
        <w:tblPrEx/>
        <w:trPr>
          <w:trHeight w:val="345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ПС 35 </w:t>
            </w:r>
            <w:r>
              <w:rPr>
                <w:rFonts w:ascii="Times New Roman" w:hAnsi="Times New Roman" w:cs="Times New Roman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5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200,5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68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tcW w:w="19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200,5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W w:w="2977" w:type="dxa"/>
            <w:textDirection w:val="lrTb"/>
            <w:noWrap w:val="false"/>
          </w:tcPr>
          <w:p>
            <w:pPr>
              <w:pStyle w:val="858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ПС 110 </w:t>
            </w:r>
            <w:r>
              <w:rPr>
                <w:rFonts w:ascii="Times New Roman" w:hAnsi="Times New Roman" w:cs="Times New Roman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5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1 036,5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51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tcW w:w="19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1036,5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W w:w="2977" w:type="dxa"/>
            <w:textDirection w:val="lrTb"/>
            <w:noWrap w:val="false"/>
          </w:tcPr>
          <w:p>
            <w:pPr>
              <w:pStyle w:val="858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ПС 220 </w:t>
            </w:r>
            <w:r>
              <w:rPr>
                <w:rFonts w:ascii="Times New Roman" w:hAnsi="Times New Roman" w:cs="Times New Roman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57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9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7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3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и мощность ТП, РП 6-10/0,38 </w:t>
            </w:r>
            <w:r>
              <w:rPr>
                <w:rFonts w:ascii="Times New Roman" w:hAnsi="Times New Roman" w:cs="Times New Roman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3 754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424,31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3824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  <w:tc>
          <w:tcPr>
            <w:tcW w:w="19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437,08</w:t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3 873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1 661,31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3943</w:t>
            </w:r>
            <w:r>
              <w:rPr>
                <w:rFonts w:ascii="Times New Roman" w:hAnsi="Times New Roman" w:eastAsia="Arial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b/>
                <w:sz w:val="20"/>
                <w:szCs w:val="20"/>
              </w:rPr>
            </w:r>
          </w:p>
        </w:tc>
        <w:tc>
          <w:tcPr>
            <w:tcW w:w="19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1674,08</w:t>
            </w:r>
            <w:r>
              <w:rPr>
                <w:rFonts w:ascii="Times New Roman" w:hAnsi="Times New Roman" w:eastAsia="Arial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Arial" w:cs="Times New Roman"/>
                <w:b/>
                <w:sz w:val="20"/>
                <w:szCs w:val="20"/>
              </w:rPr>
            </w:r>
          </w:p>
        </w:tc>
      </w:tr>
    </w:tbl>
    <w:p>
      <w:pPr>
        <w:pStyle w:val="858"/>
        <w:ind w:left="1080"/>
        <w:jc w:val="left"/>
        <w:spacing w:after="0"/>
        <w:tabs>
          <w:tab w:val="left" w:pos="1136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  <w:bCs/>
        </w:rPr>
      </w:r>
    </w:p>
    <w:p>
      <w:pPr>
        <w:shd w:val="nil" w:color="auto"/>
        <w:rPr>
          <w:rFonts w:ascii="Times New Roman" w:hAnsi="Times New Roman" w:cs="Times New Roman"/>
          <w:color w:val="1f497d" w:themeColor="text2"/>
          <w:highlight w:val="none"/>
        </w:rPr>
      </w:pPr>
      <w:r>
        <w:rPr>
          <w:rFonts w:ascii="Times New Roman" w:hAnsi="Times New Roman" w:cs="Times New Roman"/>
          <w:color w:val="1f497d" w:themeColor="text2"/>
          <w:highlight w:val="none"/>
        </w:rPr>
        <w:br w:type="page" w:clear="all"/>
      </w: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  <w:highlight w:val="none"/>
        </w:rPr>
      </w:r>
    </w:p>
    <w:p>
      <w:pPr>
        <w:pStyle w:val="858"/>
        <w:numPr>
          <w:ilvl w:val="1"/>
          <w:numId w:val="2"/>
        </w:numPr>
        <w:rPr>
          <w:rFonts w:ascii="Times New Roman" w:hAnsi="Times New Roman" w:cs="Times New Roman"/>
          <w:color w:val="1f497d" w:themeColor="text2"/>
          <w:highlight w:val="none"/>
        </w:rPr>
      </w:pPr>
      <w:r>
        <w:rPr>
          <w:rFonts w:ascii="Times New Roman" w:hAnsi="Times New Roman" w:cs="Times New Roman"/>
          <w:color w:val="1f497d" w:themeColor="text2"/>
          <w:highlight w:val="none"/>
        </w:rPr>
        <w:t xml:space="preserve">Уровень физического износа объектов электросетевого хозяйства сетевой организации</w:t>
      </w:r>
      <w:r>
        <w:rPr>
          <w:rFonts w:ascii="Times New Roman" w:hAnsi="Times New Roman" w:cs="Times New Roman"/>
          <w:color w:val="1f497d" w:themeColor="text2"/>
          <w:highlight w:val="none"/>
        </w:rPr>
        <w:t xml:space="preserve"> </w:t>
      </w: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  <w:highlight w:val="none"/>
        </w:rPr>
      </w:r>
    </w:p>
    <w:tbl>
      <w:tblPr>
        <w:tblW w:w="935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11"/>
        <w:gridCol w:w="2408"/>
        <w:gridCol w:w="2835"/>
      </w:tblGrid>
      <w:tr>
        <w:tblPrEx/>
        <w:trPr>
          <w:trHeight w:val="9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2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highlight w:val="none"/>
              </w:rPr>
            </w:r>
          </w:p>
        </w:tc>
      </w:tr>
      <w:tr>
        <w:tblPrEx/>
        <w:trPr>
          <w:trHeight w:val="24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Трансформаторное оборудование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85,02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83,87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  <w:tr>
        <w:tblPrEx/>
        <w:trPr>
          <w:trHeight w:val="15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Коммутационные аппараты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66,97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67,01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  <w:tr>
        <w:tblPrEx/>
        <w:trPr>
          <w:trHeight w:val="1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Общий износ по оборудованию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72,48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72,18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  <w:tr>
        <w:tblPrEx/>
        <w:trPr>
          <w:trHeight w:val="13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 35-220 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89,45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93,80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  <w:tr>
        <w:tblPrEx/>
        <w:trPr>
          <w:trHeight w:val="1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 0,4-20 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92,11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92,3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  <w:tr>
        <w:tblPrEx/>
        <w:trPr>
          <w:trHeight w:val="26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КЛ 35-220 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  <w:tr>
        <w:tblPrEx/>
        <w:trPr>
          <w:trHeight w:val="9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КЛ 0,4-20 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87,54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86,88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  <w:tr>
        <w:tblPrEx/>
        <w:trPr>
          <w:trHeight w:val="1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Общий износ по линиям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91,53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/>
          </w:tcPr>
          <w:p>
            <w:pPr>
              <w:jc w:val="center"/>
              <w:spacing w:after="0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  <w:t xml:space="preserve">92,61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r>
          </w:p>
        </w:tc>
      </w:tr>
    </w:tbl>
    <w:p>
      <w:pPr>
        <w:pStyle w:val="858"/>
        <w:ind w:left="1080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360" w:firstLine="0"/>
        <w:jc w:val="both"/>
        <w:spacing w:after="0"/>
        <w:rPr>
          <w:rFonts w:ascii="Times New Roman" w:hAnsi="Times New Roman"/>
          <w:b/>
          <w:bCs/>
          <w:color w:val="365f91"/>
          <w:highlight w:val="none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bCs/>
          <w:color w:val="365f91"/>
          <w:highlight w:val="none"/>
        </w:rPr>
      </w:r>
    </w:p>
    <w:p>
      <w:pPr>
        <w:ind w:left="720" w:firstLine="0"/>
        <w:jc w:val="both"/>
        <w:spacing w:after="0"/>
        <w:rPr>
          <w:rFonts w:ascii="Times New Roman" w:hAnsi="Times New Roman" w:cs="Times New Roman"/>
          <w:b/>
          <w:bCs/>
          <w:color w:val="1f497d" w:themeColor="text2"/>
        </w:rPr>
      </w:pPr>
      <w:r>
        <w:rPr>
          <w:rFonts w:ascii="Times New Roman" w:hAnsi="Times New Roman" w:cs="Times New Roman"/>
          <w:b/>
          <w:color w:val="1f497d" w:themeColor="text2"/>
          <w:highlight w:val="none"/>
        </w:rPr>
      </w:r>
      <w:r>
        <w:rPr>
          <w:rFonts w:ascii="Times New Roman" w:hAnsi="Times New Roman" w:cs="Times New Roman"/>
          <w:b/>
          <w:color w:val="1f497d" w:themeColor="text2"/>
          <w:highlight w:val="none"/>
        </w:rPr>
      </w:r>
      <w:r>
        <w:rPr>
          <w:rFonts w:ascii="Times New Roman" w:hAnsi="Times New Roman" w:cs="Times New Roman"/>
          <w:b/>
          <w:bCs/>
          <w:color w:val="1f497d" w:themeColor="text2"/>
        </w:rPr>
      </w:r>
    </w:p>
    <w:p>
      <w:pPr>
        <w:pStyle w:val="858"/>
        <w:numPr>
          <w:ilvl w:val="0"/>
          <w:numId w:val="2"/>
        </w:numPr>
        <w:jc w:val="both"/>
        <w:spacing w:after="0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  <w:b/>
          <w:color w:val="1f497d" w:themeColor="text2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 w:cs="Times New Roman"/>
          <w:b/>
          <w:color w:val="1f497d" w:themeColor="text2"/>
        </w:rPr>
      </w:r>
      <w:r>
        <w:rPr>
          <w:rFonts w:ascii="Times New Roman" w:hAnsi="Times New Roman" w:cs="Times New Roman"/>
          <w:b/>
          <w:color w:val="1f497d" w:themeColor="text2"/>
        </w:rPr>
      </w:r>
    </w:p>
    <w:p>
      <w:pPr>
        <w:pStyle w:val="858"/>
        <w:numPr>
          <w:ilvl w:val="1"/>
          <w:numId w:val="2"/>
        </w:numPr>
        <w:ind w:left="1288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1f497d" w:themeColor="text2"/>
        </w:rPr>
        <w:t xml:space="preserve">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819"/>
        <w:gridCol w:w="1418"/>
        <w:gridCol w:w="1276"/>
        <w:gridCol w:w="1134"/>
      </w:tblGrid>
      <w:tr>
        <w:tblPrEx/>
        <w:trPr>
          <w:trHeight w:val="3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819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8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2024 г.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2025 г.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Показатель средней продолжительности прекращений передачи электрической энергии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saidi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5,0591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4,8493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-4,15%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(35 - 60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(1 - 20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Показатель средней частоты прекращений передачи электрической энергии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saifi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2,9335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2,6277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-10,4%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(35 - 60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(1 - 20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273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saidi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план)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10,0641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8,4642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-15,9%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(35 - 60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(1 - 20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3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saifi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план)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1,9409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1,9177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-1,19%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(35 - 60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(1 - 20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864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13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858"/>
        <w:numPr>
          <w:ilvl w:val="1"/>
          <w:numId w:val="2"/>
        </w:numPr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Рейтинг структурных единиц сетевой организации по качеству оказания услуг по передаче электрической энергии, а также по качеству электрической энергии в отчетном периоде.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15100" w:type="dxa"/>
        <w:jc w:val="center"/>
        <w:tblLook w:val="04A0" w:firstRow="1" w:lastRow="0" w:firstColumn="1" w:lastColumn="0" w:noHBand="0" w:noVBand="1"/>
      </w:tblPr>
      <w:tblGrid>
        <w:gridCol w:w="375"/>
        <w:gridCol w:w="1550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jc w:val="center"/>
          <w:trHeight w:val="57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 средней продолжительности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saidi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 средней частоты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saifi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saidi,рем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saifi,рем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 качества оказания услуг по передаче электрической энергии (отношение общего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числа зарегистрированных случаев нарушения качества электрической энергии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jc w:val="center"/>
          <w:trHeight w:val="32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Филиал «Калмэнерго»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4,8493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2,6277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8,642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1,9177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701" w:right="1134" w:bottom="851" w:left="1134" w:header="680" w:footer="709" w:gutter="0"/>
          <w:cols w:num="1" w:sep="0" w:space="708" w:equalWidth="1"/>
          <w:docGrid w:linePitch="360"/>
        </w:sectPr>
      </w:pPr>
      <w:r/>
      <w:r/>
    </w:p>
    <w:p>
      <w:pPr>
        <w:pStyle w:val="858"/>
        <w:numPr>
          <w:ilvl w:val="1"/>
          <w:numId w:val="2"/>
        </w:numPr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Мероприятия, выполненные сетевой организацией 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расчистка трасс на ВЛ 0,4-110 кВ – 16,87 га;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замена изоляторов на ВЛ 0,4-110 кВ – 7 950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замена провода на ВЛ 0,4-110 кВ – 32,97 км;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замена опор на ВЛ 0,4-110 кВ – 963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ремонт автотрансформаторов /трансформаторов 6-35 кВ – 7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замена вводов 35 кВ – 7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ремонт выключателей 6-110 кВ – 238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ремонт разъединителей 6-110 кВ – 45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замена ИОС разъединителей, ОДиКЗ и шинных опор 35-110 кВ – 30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ремонт отделителей, короткозамыкателей 35-110 кВ – 8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  <w:highlight w:val="none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ремонт ТП (ЗТП, КТП, РП) – 407 шт.;</w:t>
      </w:r>
      <w:r>
        <w:rPr>
          <w:rFonts w:ascii="Times New Roman" w:hAnsi="Times New Roman"/>
          <w:b w:val="0"/>
          <w:bCs w:val="0"/>
          <w:color w:val="auto"/>
          <w:highlight w:val="none"/>
        </w:rPr>
      </w:r>
      <w:r>
        <w:rPr>
          <w:rFonts w:ascii="Times New Roman" w:hAnsi="Times New Roman"/>
          <w:b w:val="0"/>
          <w:bCs w:val="0"/>
          <w:color w:val="auto"/>
          <w:highlight w:val="none"/>
        </w:rPr>
      </w:r>
    </w:p>
    <w:p>
      <w:pPr>
        <w:ind w:left="0" w:right="0" w:firstLine="992"/>
        <w:jc w:val="both"/>
        <w:spacing w:after="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  <w:highlight w:val="none"/>
        </w:rPr>
        <w:t xml:space="preserve">- ремонт трансформаторов ТП ЗТП, КТП – 75 шт.</w:t>
      </w:r>
      <w:r>
        <w:rPr>
          <w:rFonts w:ascii="Times New Roman" w:hAnsi="Times New Roman"/>
          <w:b w:val="0"/>
          <w:bCs w:val="0"/>
          <w:color w:val="auto"/>
        </w:rPr>
      </w:r>
      <w:r>
        <w:rPr>
          <w:rFonts w:ascii="Times New Roman" w:hAnsi="Times New Roman"/>
          <w:b w:val="0"/>
          <w:bCs w:val="0"/>
          <w:color w:val="auto"/>
        </w:rPr>
      </w:r>
    </w:p>
    <w:p>
      <w:pPr>
        <w:pStyle w:val="858"/>
        <w:ind w:left="0" w:firstLine="709"/>
        <w:jc w:val="both"/>
        <w:spacing w:after="0" w:line="240" w:lineRule="auto"/>
        <w:rPr>
          <w:rFonts w:ascii="Times New Roman" w:hAnsi="Times New Roman" w:cs="Times New Roman"/>
          <w:color w:val="c00000"/>
          <w:highlight w:val="none"/>
        </w:rPr>
      </w:pPr>
      <w:r>
        <w:rPr>
          <w:rFonts w:ascii="Times New Roman" w:hAnsi="Times New Roman" w:cs="Times New Roman"/>
        </w:rPr>
        <w:t xml:space="preserve">Все намеченные мероприятия выполнены в полном объеме. Выполнение мероприятий позволило достигнуть в 2025 году </w:t>
      </w:r>
      <w:r>
        <w:rPr>
          <w:rFonts w:ascii="Times New Roman" w:hAnsi="Times New Roman" w:cs="Times New Roman"/>
        </w:rPr>
        <w:t xml:space="preserve">установленный</w:t>
      </w:r>
      <w:r>
        <w:rPr>
          <w:rFonts w:ascii="Times New Roman" w:hAnsi="Times New Roman" w:cs="Times New Roman"/>
        </w:rPr>
        <w:t xml:space="preserve">  органом тарифного регулирования уровня надежности оказываемых услуг – выполнены показатели надежности </w:t>
      </w:r>
      <w:r>
        <w:rPr>
          <w:rFonts w:ascii="Times New Roman" w:hAnsi="Times New Roman" w:cs="Times New Roman"/>
        </w:rPr>
        <w:t xml:space="preserve">Пsaidi</w:t>
      </w:r>
      <w:r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</w:rPr>
        <w:t xml:space="preserve">Пsaifi</w:t>
      </w:r>
      <w:r>
        <w:rPr>
          <w:rFonts w:ascii="Times New Roman" w:hAnsi="Times New Roman" w:cs="Times New Roman"/>
          <w:color w:val="c00000"/>
        </w:rPr>
        <w:t xml:space="preserve">.</w:t>
      </w:r>
      <w:r>
        <w:rPr>
          <w:rFonts w:ascii="Times New Roman" w:hAnsi="Times New Roman" w:cs="Times New Roman"/>
          <w:color w:val="c00000"/>
          <w:highlight w:val="none"/>
        </w:rPr>
      </w:r>
      <w:r>
        <w:rPr>
          <w:rFonts w:ascii="Times New Roman" w:hAnsi="Times New Roman" w:cs="Times New Roman"/>
          <w:color w:val="c00000"/>
          <w:highlight w:val="none"/>
        </w:rPr>
      </w:r>
    </w:p>
    <w:p>
      <w:pPr>
        <w:pStyle w:val="858"/>
        <w:ind w:left="0" w:firstLine="709"/>
        <w:jc w:val="both"/>
        <w:spacing w:after="0" w:line="240" w:lineRule="auto"/>
        <w:rPr>
          <w:rFonts w:ascii="Times New Roman" w:hAnsi="Times New Roman" w:cs="Times New Roman"/>
          <w:color w:val="c00000"/>
        </w:rPr>
      </w:pPr>
      <w:r>
        <w:rPr>
          <w:rFonts w:ascii="Times New Roman" w:hAnsi="Times New Roman" w:cs="Times New Roman"/>
          <w:color w:val="c00000"/>
          <w:highlight w:val="none"/>
        </w:rPr>
      </w:r>
      <w:r>
        <w:rPr>
          <w:rFonts w:ascii="Times New Roman" w:hAnsi="Times New Roman" w:cs="Times New Roman"/>
          <w:color w:val="c00000"/>
          <w:highlight w:val="none"/>
        </w:rPr>
      </w:r>
      <w:r>
        <w:rPr>
          <w:rFonts w:ascii="Times New Roman" w:hAnsi="Times New Roman" w:cs="Times New Roman"/>
          <w:color w:val="c00000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 w:eastAsia="Calibri" w:cs="Times New Roman"/>
          <w:b/>
          <w:color w:val="1f497d" w:themeColor="text2"/>
        </w:rPr>
      </w:pPr>
      <w:r>
        <w:rPr>
          <w:rFonts w:ascii="Times New Roman" w:hAnsi="Times New Roman" w:eastAsia="Calibri" w:cs="Times New Roman"/>
          <w:b/>
          <w:color w:val="1f497d" w:themeColor="text2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 w:eastAsia="Calibri" w:cs="Times New Roman"/>
          <w:b/>
          <w:color w:val="1f497d" w:themeColor="text2"/>
        </w:rPr>
      </w:r>
      <w:r>
        <w:rPr>
          <w:rFonts w:ascii="Times New Roman" w:hAnsi="Times New Roman" w:eastAsia="Calibri" w:cs="Times New Roman"/>
          <w:b/>
          <w:color w:val="1f497d" w:themeColor="text2"/>
        </w:rPr>
      </w:r>
    </w:p>
    <w:p>
      <w:pPr>
        <w:contextualSpacing/>
        <w:ind w:left="720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numPr>
          <w:ilvl w:val="1"/>
          <w:numId w:val="2"/>
        </w:numPr>
        <w:contextualSpacing/>
        <w:ind w:left="1288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Информация о наличии невостребованной мощности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contextualSpacing/>
        <w:ind w:left="1080" w:firstLine="336"/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Таблица 3.1. приложение №1.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ind w:left="1080"/>
        <w:jc w:val="both"/>
        <w:spacing w:after="0"/>
        <w:rPr>
          <w:rFonts w:ascii="Times New Roman" w:hAnsi="Times New Roman" w:eastAsia="Calibri" w:cs="Times New Roman"/>
          <w:b/>
          <w:color w:val="c00000"/>
        </w:rPr>
      </w:pPr>
      <w:r>
        <w:rPr>
          <w:rFonts w:ascii="Times New Roman" w:hAnsi="Times New Roman" w:eastAsia="Calibri" w:cs="Times New Roman"/>
          <w:b/>
          <w:color w:val="c00000"/>
        </w:rPr>
      </w:r>
      <w:r>
        <w:rPr>
          <w:rFonts w:ascii="Times New Roman" w:hAnsi="Times New Roman" w:eastAsia="Calibri" w:cs="Times New Roman"/>
          <w:b/>
          <w:color w:val="c00000"/>
        </w:rPr>
      </w:r>
      <w:r>
        <w:rPr>
          <w:rFonts w:ascii="Times New Roman" w:hAnsi="Times New Roman" w:eastAsia="Calibri" w:cs="Times New Roman"/>
          <w:b/>
          <w:color w:val="c00000"/>
        </w:rPr>
      </w:r>
    </w:p>
    <w:p>
      <w:pPr>
        <w:numPr>
          <w:ilvl w:val="1"/>
          <w:numId w:val="2"/>
        </w:numPr>
        <w:contextualSpacing/>
        <w:ind w:left="1288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Мероприятия, выполненные сетевой организацией 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contextualSpacing/>
        <w:ind w:left="1080" w:firstLine="336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Приём заявок на технологическое присоединение, а также дальнейшее взаимодействие с заявителями осуществляется в электронном виде.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ind w:left="1080" w:firstLine="336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».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numPr>
          <w:ilvl w:val="1"/>
          <w:numId w:val="2"/>
        </w:numPr>
        <w:contextualSpacing/>
        <w:ind w:left="1288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Сведения о качестве услуг по технологическому присоединению к электрическим сетям сетевой организации.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contextualSpacing/>
        <w:ind w:left="1080" w:firstLine="336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Информация о качестве услуг по технологическому присоединению представлена </w:t>
      </w:r>
      <w:r>
        <w:rPr>
          <w:rFonts w:ascii="Times New Roman" w:hAnsi="Times New Roman" w:eastAsia="Calibri" w:cs="Times New Roman"/>
        </w:rPr>
        <w:t xml:space="preserve">в</w:t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 xml:space="preserve">Таблица</w:t>
      </w:r>
      <w:r>
        <w:rPr>
          <w:rFonts w:ascii="Times New Roman" w:hAnsi="Times New Roman" w:eastAsia="Calibri" w:cs="Times New Roman"/>
        </w:rPr>
        <w:t xml:space="preserve"> 3.4. приложение №1. 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 w:eastAsia="Calibri" w:cs="Times New Roman"/>
          <w:b/>
          <w:color w:val="1f497d" w:themeColor="text2"/>
        </w:rPr>
      </w:pPr>
      <w:r>
        <w:rPr>
          <w:rFonts w:ascii="Times New Roman" w:hAnsi="Times New Roman" w:eastAsia="Calibri" w:cs="Times New Roman"/>
          <w:b/>
          <w:color w:val="1f497d" w:themeColor="text2"/>
        </w:rPr>
        <w:t xml:space="preserve">Качество обслуживания</w:t>
      </w:r>
      <w:r>
        <w:rPr>
          <w:rFonts w:ascii="Times New Roman" w:hAnsi="Times New Roman" w:eastAsia="Calibri" w:cs="Times New Roman"/>
          <w:b/>
          <w:color w:val="1f497d" w:themeColor="text2"/>
        </w:rPr>
      </w:r>
      <w:r>
        <w:rPr>
          <w:rFonts w:ascii="Times New Roman" w:hAnsi="Times New Roman" w:eastAsia="Calibri" w:cs="Times New Roman"/>
          <w:b/>
          <w:color w:val="1f497d" w:themeColor="text2"/>
        </w:rPr>
      </w:r>
    </w:p>
    <w:p>
      <w:pPr>
        <w:numPr>
          <w:ilvl w:val="1"/>
          <w:numId w:val="2"/>
        </w:numPr>
        <w:contextualSpacing/>
        <w:ind w:left="1288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Количество обращений, поступивших в сетевую организацию 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ind w:left="372" w:firstLine="708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Таблица 4.1. приложение №1. 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contextualSpacing/>
        <w:ind w:left="1080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numPr>
          <w:ilvl w:val="1"/>
          <w:numId w:val="2"/>
        </w:numPr>
        <w:contextualSpacing/>
        <w:ind w:left="1288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Информация о деятельности офисов обслуживания потребителей.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contextualSpacing/>
        <w:ind w:left="720" w:firstLine="360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Таблица 4.2. приложение №1. 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contextualSpacing/>
        <w:ind w:left="1080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numPr>
          <w:ilvl w:val="1"/>
          <w:numId w:val="2"/>
        </w:numPr>
        <w:contextualSpacing/>
        <w:ind w:left="1288"/>
        <w:jc w:val="both"/>
        <w:spacing w:after="0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</w:rPr>
        <w:t xml:space="preserve">Информация о заочном обслуживании потребителей посредством телефонной связи.</w:t>
      </w: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contextualSpacing/>
        <w:ind w:left="720" w:firstLine="360"/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Таблица 4.3. приложение №1.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rPr>
          <w:rFonts w:ascii="Times New Roman" w:hAnsi="Times New Roman" w:eastAsia="Calibri" w:cs="Times New Roman"/>
          <w:color w:val="c00000"/>
        </w:rPr>
      </w:pPr>
      <w:r>
        <w:rPr>
          <w:rFonts w:ascii="Times New Roman" w:hAnsi="Times New Roman" w:eastAsia="Calibri" w:cs="Times New Roman"/>
          <w:color w:val="c00000"/>
        </w:rPr>
        <w:br w:type="page" w:clear="all"/>
      </w:r>
      <w:r>
        <w:rPr>
          <w:rFonts w:ascii="Times New Roman" w:hAnsi="Times New Roman" w:eastAsia="Calibri" w:cs="Times New Roman"/>
          <w:color w:val="c00000"/>
        </w:rPr>
      </w:r>
      <w:r>
        <w:rPr>
          <w:rFonts w:ascii="Times New Roman" w:hAnsi="Times New Roman" w:eastAsia="Calibri" w:cs="Times New Roman"/>
          <w:color w:val="c00000"/>
        </w:rPr>
      </w:r>
    </w:p>
    <w:p>
      <w:pPr>
        <w:pStyle w:val="858"/>
        <w:numPr>
          <w:ilvl w:val="1"/>
          <w:numId w:val="5"/>
        </w:numPr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color w:val="365f91"/>
        </w:rPr>
        <w:t xml:space="preserve"> </w:t>
      </w:r>
      <w:r>
        <w:rPr>
          <w:rFonts w:ascii="Times New Roman" w:hAnsi="Times New Roman" w:eastAsia="Calibri" w:cs="Times New Roman"/>
          <w:color w:val="365f91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contextualSpacing/>
        <w:ind w:left="1080"/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5867"/>
        <w:gridCol w:w="964"/>
        <w:gridCol w:w="1092"/>
        <w:gridCol w:w="1114"/>
      </w:tblGrid>
      <w:tr>
        <w:tblPrEx/>
        <w:trPr>
          <w:trHeight w:val="5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645" w:leader="none"/>
                <w:tab w:val="center" w:pos="3010" w:leader="none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ab/>
              <w:t xml:space="preserve">Наименование ДО/ филиала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Филиал ПАО "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Юг" - "Калмэнерго"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I. Распределение обращений по категории обращений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10816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16319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151%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326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1" w:name="RANGE!D11"/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130%</w:t>
            </w:r>
            <w:bookmarkEnd w:id="1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3015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1419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47%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3488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4895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140%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1715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2130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124%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391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507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130%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250%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50%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1217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1656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136%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154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590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383%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4043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9642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238%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из них по аварийным отключениям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2539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4119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163%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6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180%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</w:tbl>
    <w:p>
      <w:pPr>
        <w:contextualSpacing/>
        <w:ind w:left="1080"/>
        <w:jc w:val="both"/>
        <w:spacing w:after="0"/>
        <w:rPr>
          <w:rFonts w:ascii="Times New Roman" w:hAnsi="Times New Roman" w:eastAsia="Calibri" w:cs="Times New Roman"/>
          <w:b/>
          <w:color w:val="365f91"/>
        </w:rPr>
      </w:pP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  <w:r>
        <w:rPr>
          <w:rFonts w:ascii="Times New Roman" w:hAnsi="Times New Roman" w:eastAsia="Calibri" w:cs="Times New Roman"/>
          <w:b/>
          <w:color w:val="365f91"/>
        </w:rPr>
      </w:r>
    </w:p>
    <w:p>
      <w:pPr>
        <w:pStyle w:val="858"/>
        <w:numPr>
          <w:ilvl w:val="1"/>
          <w:numId w:val="5"/>
        </w:numPr>
        <w:ind w:left="142" w:right="0" w:firstLine="567"/>
        <w:jc w:val="both"/>
        <w:spacing w:after="0" w:line="240" w:lineRule="auto"/>
        <w:rPr>
          <w:rFonts w:ascii="Times New Roman" w:hAnsi="Times New Roman" w:cs="Times New Roman"/>
          <w:b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  <w:t xml:space="preserve"> </w:t>
      </w:r>
      <w:r>
        <w:rPr>
          <w:rFonts w:ascii="Times New Roman" w:hAnsi="Times New Roman" w:cs="Times New Roman"/>
          <w:color w:val="1f497d" w:themeColor="text2"/>
        </w:rPr>
        <w:t xml:space="preserve">Описание дополнительных услуг,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 w:cs="Times New Roman"/>
          <w:b/>
          <w:color w:val="1f497d" w:themeColor="text2"/>
        </w:rPr>
      </w:r>
      <w:r>
        <w:rPr>
          <w:rFonts w:ascii="Times New Roman" w:hAnsi="Times New Roman" w:cs="Times New Roman"/>
          <w:b/>
          <w:color w:val="1f497d" w:themeColor="text2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Кроме основных видов деятельности, филиал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Юг» - «Калмэнерго»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Филиалом на возмез</w:t>
      </w:r>
      <w:r>
        <w:rPr>
          <w:rFonts w:ascii="Times New Roman" w:hAnsi="Times New Roman" w:cs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Юг»: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Аренда и услуги по размещению;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строительно-монтажных работ;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Агентские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связи и информационных технологий;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Другие услуги прочей деятельности;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142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</w:p>
    <w:p>
      <w:pPr>
        <w:pStyle w:val="858"/>
        <w:numPr>
          <w:ilvl w:val="1"/>
          <w:numId w:val="5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  <w:t xml:space="preserve">Мероприятия, направленные на работу с социально уязвимыми группами населения. </w:t>
      </w:r>
      <w:r>
        <w:rPr>
          <w:rFonts w:ascii="Times New Roman" w:hAnsi="Times New Roman" w:cs="Times New Roman"/>
          <w:color w:val="1f497d" w:themeColor="text2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pStyle w:val="858"/>
        <w:ind w:left="0" w:firstLine="709"/>
        <w:jc w:val="both"/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Филиал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Юг» - «Калмэнерго» обеспечивает обслуживание потребителей с соблюдением требований к организации офисов обслуживания потребителей, предусмотренных Стандартом качества обслуживания потребителей услуг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Юг».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8"/>
        <w:ind w:left="0"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</w:p>
    <w:p>
      <w:pPr>
        <w:pStyle w:val="858"/>
        <w:numPr>
          <w:ilvl w:val="1"/>
          <w:numId w:val="5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  <w:t xml:space="preserve">Темы и результаты опросов потребителей, проводимых сетевой организацией 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  <w:r>
        <w:rPr>
          <w:rFonts w:ascii="Times New Roman" w:hAnsi="Times New Roman" w:cs="Times New Roman"/>
          <w:color w:val="1f497d" w:themeColor="text2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ind w:left="360" w:firstLine="0"/>
        <w:jc w:val="both"/>
        <w:spacing w:after="0" w:line="240" w:lineRule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</w:rPr>
      </w:r>
    </w:p>
    <w:tbl>
      <w:tblPr>
        <w:tblW w:w="9036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126"/>
        <w:gridCol w:w="1559"/>
        <w:gridCol w:w="3083"/>
      </w:tblGrid>
      <w:tr>
        <w:tblPrEx/>
        <w:trPr>
          <w:jc w:val="right"/>
          <w:trHeight w:val="321"/>
        </w:trPr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Объект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30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jc w:val="right"/>
          <w:trHeight w:val="1124"/>
        </w:trPr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Интервью по телефону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Потребители филиала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30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оценка доступности энергетической инфраструктуры в рамках национального рейтинга состояния инвестиционного климата по направлению "Эффективность процедур по подключению электроэнергии".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</w:tc>
      </w:tr>
    </w:tbl>
    <w:p>
      <w:pPr>
        <w:ind w:left="360" w:firstLine="0"/>
        <w:jc w:val="both"/>
        <w:spacing w:after="0" w:line="240" w:lineRule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pStyle w:val="858"/>
        <w:numPr>
          <w:ilvl w:val="1"/>
          <w:numId w:val="5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  <w:t xml:space="preserve"> </w:t>
      </w:r>
      <w:r>
        <w:rPr>
          <w:rFonts w:ascii="Times New Roman" w:hAnsi="Times New Roman" w:cs="Times New Roman"/>
          <w:color w:val="1f497d" w:themeColor="text2"/>
        </w:rPr>
        <w:t xml:space="preserve">Мероприятия, выполняемые сетевой организацией в целях повышения качества обслуживания потребителей.</w:t>
      </w:r>
      <w:r>
        <w:rPr>
          <w:rFonts w:ascii="Times New Roman" w:hAnsi="Times New Roman" w:cs="Times New Roman"/>
          <w:color w:val="1f497d" w:themeColor="text2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pStyle w:val="858"/>
        <w:numPr>
          <w:ilvl w:val="0"/>
          <w:numId w:val="14"/>
        </w:numPr>
        <w:contextualSpacing w:val="0"/>
        <w:ind w:left="425" w:right="0" w:firstLine="709"/>
        <w:spacing w:after="0" w:afterAutospacing="0"/>
        <w:rPr>
          <w:rFonts w:ascii="Times New Roman" w:hAnsi="Times New Roman" w:eastAsia="Times New Roman" w:cs="Times New Roman"/>
          <w:sz w:val="23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Силами  филиала организовано информирование потребителей о наличии интерактивных клиентских ресурсов ПАО «Россети», где можно задать вопрос, либо направить обращение по направлению деятельности компании.</w:t>
      </w:r>
      <w:r>
        <w:rPr>
          <w:rFonts w:ascii="Times New Roman" w:hAnsi="Times New Roman" w:eastAsia="Times New Roman" w:cs="Times New Roman"/>
          <w:sz w:val="23"/>
        </w:rPr>
      </w:r>
      <w:r>
        <w:rPr>
          <w:rFonts w:ascii="Times New Roman" w:hAnsi="Times New Roman" w:eastAsia="Times New Roman" w:cs="Times New Roman"/>
          <w:sz w:val="23"/>
        </w:rPr>
      </w:r>
    </w:p>
    <w:p>
      <w:pPr>
        <w:pStyle w:val="858"/>
        <w:numPr>
          <w:ilvl w:val="0"/>
          <w:numId w:val="14"/>
        </w:numPr>
        <w:contextualSpacing w:val="0"/>
        <w:ind w:left="425" w:right="0" w:firstLine="709"/>
        <w:spacing w:after="0" w:afterAutospacing="0"/>
        <w:rPr>
          <w:rFonts w:ascii="Times New Roman" w:hAnsi="Times New Roman" w:eastAsia="Times New Roman" w:cs="Times New Roman"/>
          <w:sz w:val="23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Модернизирован раздел «Потребителям» на официальном сайте Общества в части соответствия требованиям Стандартов качества обслуживания потребителей услуг.</w:t>
      </w:r>
      <w:r>
        <w:rPr>
          <w:rFonts w:ascii="Times New Roman" w:hAnsi="Times New Roman" w:eastAsia="Times New Roman" w:cs="Times New Roman"/>
          <w:sz w:val="23"/>
        </w:rPr>
      </w:r>
      <w:r>
        <w:rPr>
          <w:rFonts w:ascii="Times New Roman" w:hAnsi="Times New Roman" w:eastAsia="Times New Roman" w:cs="Times New Roman"/>
          <w:sz w:val="23"/>
        </w:rPr>
      </w:r>
    </w:p>
    <w:p>
      <w:pPr>
        <w:pStyle w:val="858"/>
        <w:numPr>
          <w:ilvl w:val="0"/>
          <w:numId w:val="14"/>
        </w:numPr>
        <w:contextualSpacing w:val="0"/>
        <w:ind w:left="425" w:right="0" w:firstLine="709"/>
        <w:spacing w:after="0" w:afterAutospacing="0"/>
        <w:rPr>
          <w:rFonts w:ascii="Times New Roman" w:hAnsi="Times New Roman" w:eastAsia="Times New Roman" w:cs="Times New Roman"/>
          <w:sz w:val="23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Обеспечен перевод трафика горячей линии на Единое интеллектуальное меню.</w:t>
      </w:r>
      <w:r>
        <w:rPr>
          <w:rFonts w:ascii="Times New Roman" w:hAnsi="Times New Roman" w:eastAsia="Times New Roman" w:cs="Times New Roman"/>
          <w:sz w:val="23"/>
        </w:rPr>
      </w:r>
      <w:r>
        <w:rPr>
          <w:rFonts w:ascii="Times New Roman" w:hAnsi="Times New Roman" w:eastAsia="Times New Roman" w:cs="Times New Roman"/>
          <w:sz w:val="23"/>
        </w:rPr>
      </w:r>
    </w:p>
    <w:p>
      <w:pPr>
        <w:pStyle w:val="858"/>
        <w:numPr>
          <w:ilvl w:val="0"/>
          <w:numId w:val="14"/>
        </w:numPr>
        <w:contextualSpacing w:val="0"/>
        <w:ind w:left="425" w:right="0" w:firstLine="709"/>
        <w:spacing w:after="0" w:afterAutospacing="0"/>
        <w:rPr>
          <w:rFonts w:ascii="Times New Roman" w:hAnsi="Times New Roman" w:eastAsia="Times New Roman" w:cs="Times New Roman"/>
          <w:sz w:val="23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Запущен сервис «Нейросетевой агент» по вопросам отключения электроэнергии.</w:t>
      </w:r>
      <w:r>
        <w:rPr>
          <w:rFonts w:ascii="Times New Roman" w:hAnsi="Times New Roman" w:eastAsia="Times New Roman" w:cs="Times New Roman"/>
          <w:sz w:val="23"/>
        </w:rPr>
      </w:r>
      <w:r>
        <w:rPr>
          <w:rFonts w:ascii="Times New Roman" w:hAnsi="Times New Roman" w:eastAsia="Times New Roman" w:cs="Times New Roman"/>
          <w:sz w:val="23"/>
        </w:rPr>
      </w:r>
    </w:p>
    <w:p>
      <w:pPr>
        <w:pStyle w:val="858"/>
        <w:numPr>
          <w:ilvl w:val="0"/>
          <w:numId w:val="14"/>
        </w:numPr>
        <w:contextualSpacing w:val="0"/>
        <w:ind w:left="425" w:right="0" w:firstLine="709"/>
        <w:spacing w:after="0" w:afterAutospacing="0"/>
        <w:rPr>
          <w:rFonts w:ascii="Times New Roman" w:hAnsi="Times New Roman" w:eastAsia="Times New Roman" w:cs="Times New Roman"/>
          <w:sz w:val="23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На официальном сайте компании обновлен веб-интерфейс анкеты потребителя.</w:t>
      </w:r>
      <w:r>
        <w:rPr>
          <w:rFonts w:ascii="Times New Roman" w:hAnsi="Times New Roman" w:eastAsia="Times New Roman" w:cs="Times New Roman"/>
          <w:sz w:val="23"/>
        </w:rPr>
      </w:r>
      <w:r>
        <w:rPr>
          <w:rFonts w:ascii="Times New Roman" w:hAnsi="Times New Roman" w:eastAsia="Times New Roman" w:cs="Times New Roman"/>
          <w:sz w:val="23"/>
        </w:rPr>
      </w:r>
    </w:p>
    <w:p>
      <w:pPr>
        <w:ind w:left="360" w:firstLine="0"/>
        <w:jc w:val="both"/>
        <w:spacing w:after="0" w:line="240" w:lineRule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</w:r>
      <w:r>
        <w:rPr>
          <w:rFonts w:ascii="Times New Roman" w:hAnsi="Times New Roman" w:cs="Times New Roman"/>
          <w:color w:val="1f497d" w:themeColor="text2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ind w:left="360" w:firstLine="0"/>
        <w:jc w:val="both"/>
        <w:spacing w:after="0" w:line="240" w:lineRule="auto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  <w:highlight w:val="none"/>
        </w:rPr>
      </w:r>
      <w:r>
        <w:rPr>
          <w:rFonts w:ascii="Times New Roman" w:hAnsi="Times New Roman" w:cs="Times New Roman"/>
          <w:color w:val="1f497d" w:themeColor="text2"/>
        </w:rPr>
      </w:r>
    </w:p>
    <w:p>
      <w:pPr>
        <w:pStyle w:val="858"/>
        <w:numPr>
          <w:ilvl w:val="1"/>
          <w:numId w:val="5"/>
        </w:numPr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1f497d" w:themeColor="text2"/>
        </w:rPr>
        <w:t xml:space="preserve"> Информация по обращениям потребителей.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58"/>
        <w:ind w:left="786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Таблица 4.9. приложение №1.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58"/>
        <w:ind w:left="786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58"/>
        <w:ind w:left="0"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786"/>
      </w:pPr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 Narrow">
    <w:panose1 w:val="020B0604020202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eastAsia="Calibri" w:cs="Times New Roman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1f497d" w:themeColor="text2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space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/>
        <w:color w:val="1f497d" w:themeColor="text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space"/>
      <w:lvlText w:val=""/>
      <w:lvlJc w:val="left"/>
      <w:pPr>
        <w:ind w:left="1779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eastAsia="Calibri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b/>
        <w:color w:val="1f497d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2"/>
  </w:num>
  <w:num w:numId="9">
    <w:abstractNumId w:val="8"/>
  </w:num>
  <w:num w:numId="10">
    <w:abstractNumId w:val="5"/>
  </w:num>
  <w:num w:numId="11">
    <w:abstractNumId w:val="11"/>
  </w:num>
  <w:num w:numId="12">
    <w:abstractNumId w:val="7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4"/>
    <w:next w:val="854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5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4"/>
    <w:next w:val="854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5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5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5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5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5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5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4"/>
    <w:next w:val="854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5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No Spacing"/>
    <w:uiPriority w:val="1"/>
    <w:qFormat/>
    <w:pPr>
      <w:spacing w:before="0" w:after="0" w:line="240" w:lineRule="auto"/>
    </w:pPr>
  </w:style>
  <w:style w:type="paragraph" w:styleId="699">
    <w:name w:val="Title"/>
    <w:basedOn w:val="854"/>
    <w:next w:val="854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>
    <w:name w:val="Title Char"/>
    <w:basedOn w:val="855"/>
    <w:link w:val="699"/>
    <w:uiPriority w:val="10"/>
    <w:rPr>
      <w:sz w:val="48"/>
      <w:szCs w:val="48"/>
    </w:rPr>
  </w:style>
  <w:style w:type="paragraph" w:styleId="701">
    <w:name w:val="Subtitle"/>
    <w:basedOn w:val="854"/>
    <w:next w:val="854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5"/>
    <w:link w:val="701"/>
    <w:uiPriority w:val="11"/>
    <w:rPr>
      <w:sz w:val="24"/>
      <w:szCs w:val="24"/>
    </w:rPr>
  </w:style>
  <w:style w:type="paragraph" w:styleId="703">
    <w:name w:val="Quote"/>
    <w:basedOn w:val="854"/>
    <w:next w:val="854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4"/>
    <w:next w:val="854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5"/>
    <w:link w:val="859"/>
    <w:uiPriority w:val="99"/>
  </w:style>
  <w:style w:type="character" w:styleId="708">
    <w:name w:val="Footer Char"/>
    <w:basedOn w:val="855"/>
    <w:link w:val="861"/>
    <w:uiPriority w:val="99"/>
  </w:style>
  <w:style w:type="paragraph" w:styleId="709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709"/>
    <w:link w:val="861"/>
    <w:uiPriority w:val="99"/>
  </w:style>
  <w:style w:type="table" w:styleId="711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character" w:styleId="855" w:default="1">
    <w:name w:val="Default Paragraph Font"/>
    <w:uiPriority w:val="1"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List Paragraph"/>
    <w:basedOn w:val="854"/>
    <w:uiPriority w:val="34"/>
    <w:qFormat/>
    <w:pPr>
      <w:contextualSpacing/>
      <w:ind w:left="720"/>
    </w:pPr>
  </w:style>
  <w:style w:type="paragraph" w:styleId="859">
    <w:name w:val="Header"/>
    <w:basedOn w:val="854"/>
    <w:link w:val="8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0" w:customStyle="1">
    <w:name w:val="Верхний колонтитул Знак"/>
    <w:basedOn w:val="855"/>
    <w:link w:val="859"/>
    <w:uiPriority w:val="99"/>
  </w:style>
  <w:style w:type="paragraph" w:styleId="861">
    <w:name w:val="Footer"/>
    <w:basedOn w:val="854"/>
    <w:link w:val="8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2" w:customStyle="1">
    <w:name w:val="Нижний колонтитул Знак"/>
    <w:basedOn w:val="855"/>
    <w:link w:val="861"/>
    <w:uiPriority w:val="99"/>
  </w:style>
  <w:style w:type="table" w:styleId="863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Малунова Елена Борисовна</dc:creator>
  <cp:revision>16</cp:revision>
  <dcterms:created xsi:type="dcterms:W3CDTF">2026-03-25T07:26:00Z</dcterms:created>
  <dcterms:modified xsi:type="dcterms:W3CDTF">2026-03-31T09:56:12Z</dcterms:modified>
</cp:coreProperties>
</file>